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328"/>
        <w:gridCol w:w="5329"/>
      </w:tblGrid>
      <w:tr>
        <w:trPr/>
        <w:tc>
          <w:tcPr>
            <w:tcW w:w="5328"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329" w:type="dxa"/>
            <w:tcBorders/>
            <w:shd w:fill="auto" w:val="clear"/>
          </w:tcPr>
          <w:p>
            <w:pPr>
              <w:pStyle w:val="Normal"/>
              <w:spacing w:lineRule="auto" w:line="240" w:before="240" w:after="0"/>
              <w:jc w:val="right"/>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заключения: "______"_________________ 20__ г.</w:t>
            </w:r>
          </w:p>
          <w:p>
            <w:pPr>
              <w:pStyle w:val="Normal"/>
              <w:spacing w:lineRule="auto" w:line="240" w:before="0" w:after="0"/>
              <w:jc w:val="center"/>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оформления с собственноручными подписями:</w:t>
            </w:r>
          </w:p>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"______"_________________ 20__ г.</w:t>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ascii="Times New Roman" w:hAnsi="Times New Roman"/>
          <w:b/>
          <w:color w:val="000000" w:themeColor="text1"/>
          <w:lang w:eastAsia="ru-RU"/>
        </w:rPr>
        <w:t xml:space="preserve">Общество с ограниченной ответственностью </w:t>
      </w:r>
      <w:r>
        <w:rPr>
          <w:rFonts w:eastAsia="Times New Roman" w:ascii="Times New Roman" w:hAnsi="Times New Roman"/>
          <w:b/>
          <w:bCs/>
          <w:color w:val="000000" w:themeColor="text1"/>
          <w:lang w:eastAsia="ru-RU"/>
        </w:rPr>
        <w:t>"Атекс"</w:t>
      </w:r>
      <w:r>
        <w:rPr>
          <w:rFonts w:eastAsia="Times New Roman" w:ascii="Times New Roman" w:hAnsi="Times New Roman"/>
          <w:bCs/>
          <w:color w:val="000000" w:themeColor="text1"/>
          <w:lang w:eastAsia="ru-RU"/>
        </w:rPr>
        <w:t xml:space="preserve"> (ОГРН </w:t>
      </w:r>
      <w:r>
        <w:rPr>
          <w:rFonts w:ascii="Times New Roman" w:hAnsi="Times New Roman"/>
        </w:rPr>
        <w:t>5167746330604</w:t>
      </w:r>
      <w:r>
        <w:rPr>
          <w:rFonts w:eastAsia="Times New Roman" w:ascii="Times New Roman" w:hAnsi="Times New Roman"/>
          <w:color w:val="000000" w:themeColor="text1"/>
          <w:lang w:eastAsia="ru-RU"/>
        </w:rPr>
        <w:t>), именуемое в дальнейшем "</w:t>
      </w:r>
      <w:r>
        <w:rPr>
          <w:rFonts w:eastAsia="Times New Roman" w:ascii="Times New Roman" w:hAnsi="Times New Roman"/>
          <w:b/>
          <w:color w:val="000000" w:themeColor="text1"/>
          <w:lang w:eastAsia="ru-RU"/>
        </w:rPr>
        <w:t>Регистратор</w:t>
      </w:r>
      <w:r>
        <w:rPr>
          <w:rFonts w:eastAsia="Times New Roman" w:ascii="Times New Roman" w:hAnsi="Times New Roman"/>
          <w:color w:val="000000" w:themeColor="text1"/>
          <w:lang w:eastAsia="ru-RU"/>
        </w:rPr>
        <w:t>", в лице Генерального директора Макарова Ильи Геннадьевича</w:t>
      </w:r>
      <w:r>
        <w:rPr>
          <w:rFonts w:eastAsia="Times New Roman" w:cs="Times New Roman" w:ascii="Times New Roman" w:hAnsi="Times New Roman"/>
          <w:lang w:eastAsia="ru-RU"/>
        </w:rPr>
        <w:t xml:space="preserve">, действующего на основании Устава, с одной стороны и </w:t>
      </w:r>
      <w:r>
        <w:rPr>
          <w:rFonts w:eastAsia="Times New Roman" w:cs="Times New Roman" w:ascii="Times New Roman" w:hAnsi="Times New Roman"/>
          <w:b/>
          <w:lang w:eastAsia="ru-RU"/>
        </w:rPr>
        <w:t>ИП_______________________________</w:t>
      </w:r>
      <w:r>
        <w:rPr>
          <w:rFonts w:eastAsia="Times New Roman" w:cs="Times New Roman" w:ascii="Times New Roman" w:hAnsi="Times New Roman"/>
          <w:lang w:eastAsia="ru-RU"/>
        </w:rPr>
        <w:t xml:space="preserve"> (ПАСПОРТ_________________________________________________________________________________),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://atex.ru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0" w:name="_Ref304199018"/>
      <w:r>
        <w:rPr>
          <w:rFonts w:eastAsia="Times New Roman" w:cs="Times New Roman" w:ascii="Times New Roman" w:hAnsi="Times New Roman"/>
          <w:b/>
          <w:spacing w:val="10"/>
          <w:lang w:eastAsia="ru-RU"/>
        </w:rPr>
        <w:t>ЗАКЛЮЧЕНИЕ ДОГОВОРА</w:t>
      </w:r>
      <w:bookmarkEnd w:id="0"/>
    </w:p>
    <w:p>
      <w:pPr>
        <w:pStyle w:val="Normal"/>
        <w:numPr>
          <w:ilvl w:val="1"/>
          <w:numId w:val="1"/>
        </w:numPr>
        <w:spacing w:lineRule="auto" w:line="240" w:before="120" w:after="0"/>
        <w:jc w:val="both"/>
        <w:rPr/>
      </w:pPr>
      <w:bookmarkStart w:id="1" w:name="_Ref303964869"/>
      <w:bookmarkStart w:id="2" w:name="_Ref304188627"/>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3"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pPr>
        <w:pStyle w:val="Normal"/>
        <w:numPr>
          <w:ilvl w:val="1"/>
          <w:numId w:val="1"/>
        </w:numPr>
        <w:spacing w:lineRule="auto" w:line="240" w:before="120" w:after="0"/>
        <w:jc w:val="both"/>
        <w:rPr/>
      </w:pPr>
      <w:bookmarkStart w:id="4" w:name="_Ref304188816"/>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1"/>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numPr>
          <w:ilvl w:val="2"/>
          <w:numId w:val="1"/>
        </w:numPr>
        <w:spacing w:lineRule="auto" w:line="240" w:before="120" w:after="0"/>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pPr>
        <w:pStyle w:val="Normal"/>
        <w:widowControl w:val="false"/>
        <w:tabs>
          <w:tab w:val="left" w:pos="10366" w:leader="none"/>
        </w:tabs>
        <w:spacing w:lineRule="auto" w:line="240" w:before="0" w:after="0"/>
        <w:ind w:firstLine="567"/>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2.3</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5" w:name="_Ref272433406"/>
      <w:bookmarkStart w:id="6"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r>
          <w:rPr>
            <w:rStyle w:val="InternetLink"/>
            <w:rFonts w:cs="Times New Roman" w:ascii="Times New Roman" w:hAnsi="Times New Roman"/>
          </w:rPr>
          <w:t>https://cctld.ru/files/pdf/docs/rules_ru-rf.pdf</w:t>
        </w:r>
      </w:hyperlink>
      <w:r>
        <w:rPr>
          <w:rFonts w:eastAsia="Times New Roman" w:cs="Times New Roman" w:ascii="Times New Roman" w:hAnsi="Times New Roman"/>
          <w:lang w:eastAsia="ru-RU"/>
        </w:rPr>
        <w:t>) и являются неотъемлемой частью Договора.</w:t>
      </w:r>
      <w:bookmarkEnd w:id="6"/>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7" w:name="_Ref272433406"/>
      <w:r>
        <w:rPr>
          <w:rFonts w:eastAsia="Times New Roman" w:cs="Times New Roman" w:ascii="Times New Roman" w:hAnsi="Times New Roman"/>
          <w:lang w:eastAsia="ru-RU"/>
        </w:rPr>
        <w:t xml:space="preserve">Заказчик вправе </w:t>
      </w:r>
      <w:bookmarkEnd w:id="7"/>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https://atex.ru</w:t>
        </w:r>
      </w:hyperlink>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Персональный данные</w:t>
      </w:r>
      <w:r>
        <w:rPr>
          <w:rFonts w:eastAsia="Times New Roman" w:cs="Times New Roman" w:ascii="Times New Roman" w:hAnsi="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eastAsia="Times New Roman" w:cs="Times New Roman" w:ascii="Times New Roman" w:hAnsi="Times New Roman"/>
          <w:lang w:val="en-US" w:eastAsia="ru-RU"/>
        </w:rPr>
        <w:t>Skype</w:t>
      </w: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ICQ</w:t>
      </w:r>
      <w:r>
        <w:rPr>
          <w:rFonts w:eastAsia="Times New Roman" w:cs="Times New Roman" w:ascii="Times New Roman" w:hAnsi="Times New Roman"/>
          <w:lang w:eastAsia="ru-RU"/>
        </w:rPr>
        <w:t xml:space="preserve"> и др.); платежную информацию (реквизиты, с которых осуществлялась выплата вознаграждения по Договору).</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9"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9"/>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0"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1"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://atex.ru/contacts.php</w:t>
        </w:r>
      </w:hyperlink>
      <w:bookmarkEnd w:id="11"/>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2" w:name="_Ref280301625"/>
      <w:bookmarkEnd w:id="12"/>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13" w:name="_Hlk485119252"/>
        <w:r>
          <w:rPr>
            <w:rStyle w:val="InternetLink"/>
            <w:rFonts w:cs="Times New Roman" w:ascii="Times New Roman" w:hAnsi="Times New Roman"/>
          </w:rPr>
          <w:t>https://atex.ru</w:t>
        </w:r>
      </w:hyperlink>
      <w:bookmarkEnd w:id="13"/>
      <w:r>
        <w:rPr>
          <w:rFonts w:eastAsia="Times New Roman" w:cs="Times New Roman" w:ascii="Times New Roman" w:hAnsi="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pPr>
        <w:pStyle w:val="Normal"/>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bookmarkStart w:id="14" w:name="_GoBack"/>
      <w:bookmarkEnd w:id="14"/>
      <w:r>
        <w:rPr>
          <w:rFonts w:eastAsia="Times New Roman" w:cs="Times New Roman" w:ascii="Times New Roman" w:hAnsi="Times New Roman"/>
          <w:lang w:eastAsia="ru-RU"/>
        </w:rPr>
        <w:t>В этом случае Договор расторгается, а доменное имя подлежит аннулированию.</w:t>
      </w:r>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ЗАКЛЮЧИТЕЛЬНЫЕ ПОЛОЖЕНИЯ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15"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15"/>
      <w:r>
        <w:rPr>
          <w:rFonts w:eastAsia="Times New Roman" w:cs="Times New Roman" w:ascii="Times New Roman" w:hAnsi="Times New Roman"/>
          <w:lang w:eastAsia="ru-RU"/>
        </w:rPr>
        <w:t xml:space="preserve">.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подписан Сторонами собственноручно в редакции актуальной на дату его оформления.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16" w:name="_Ref247642744"/>
      <w:r>
        <w:rPr>
          <w:rFonts w:eastAsia="Times New Roman" w:cs="Times New Roman" w:ascii="Times New Roman" w:hAnsi="Times New Roman"/>
          <w:b/>
          <w:spacing w:val="10"/>
          <w:lang w:eastAsia="ru-RU"/>
        </w:rPr>
        <w:t xml:space="preserve">АДРЕСА И РЕКВИЗИТЫ </w:t>
      </w:r>
      <w:bookmarkEnd w:id="16"/>
      <w:r>
        <w:rPr>
          <w:rFonts w:eastAsia="Times New Roman" w:cs="Times New Roman" w:ascii="Times New Roman" w:hAnsi="Times New Roman"/>
          <w:b/>
          <w:spacing w:val="10"/>
          <w:lang w:eastAsia="ru-RU"/>
        </w:rPr>
        <w:t>СТОРОН</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328"/>
        <w:gridCol w:w="5329"/>
      </w:tblGrid>
      <w:tr>
        <w:trPr/>
        <w:tc>
          <w:tcPr>
            <w:tcW w:w="5328"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ООО "Атекс"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ОГРН </w:t>
            </w:r>
            <w:r>
              <w:rPr>
                <w:rFonts w:ascii="Times New Roman" w:hAnsi="Times New Roman"/>
              </w:rPr>
              <w:t>5167746330604</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ИНН </w:t>
            </w:r>
            <w:r>
              <w:rPr>
                <w:rFonts w:ascii="Times New Roman" w:hAnsi="Times New Roman"/>
              </w:rPr>
              <w:t>7725340230</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Адрес: </w:t>
            </w:r>
            <w:r>
              <w:rPr>
                <w:rFonts w:eastAsia="Times New Roman" w:ascii="Times New Roman" w:hAnsi="Times New Roman"/>
                <w:color w:val="000000" w:themeColor="text1"/>
                <w:lang w:eastAsia="ru-RU"/>
              </w:rPr>
              <w:t>115114, Россия, г. Москва, Павелецкая наб., д. 2, стр. 2, пом. 20</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Тел</w:t>
            </w:r>
            <w:r>
              <w:rPr>
                <w:rFonts w:eastAsia="Times New Roman" w:cs="Times New Roman" w:ascii="Times New Roman" w:hAnsi="Times New Roman"/>
                <w:color w:val="000000"/>
                <w:lang w:val="en-US" w:eastAsia="ru-RU"/>
              </w:rPr>
              <w:t xml:space="preserve">.: </w:t>
            </w:r>
            <w:r>
              <w:rPr>
                <w:rFonts w:ascii="Times New Roman" w:hAnsi="Times New Roman"/>
                <w:lang w:val="en-US"/>
              </w:rPr>
              <w:t>+7 495 1034590</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val="en-US" w:eastAsia="ru-RU"/>
              </w:rPr>
              <w:t xml:space="preserve">E-mail: </w:t>
            </w:r>
            <w:r>
              <w:rPr>
                <w:rFonts w:eastAsia="Times New Roman" w:cs="Times New Roman" w:ascii="Times New Roman" w:hAnsi="Times New Roman"/>
                <w:color w:val="000000"/>
                <w:lang w:val="en-US" w:eastAsia="ru-RU"/>
              </w:rPr>
              <w:t>info</w:t>
            </w:r>
            <w:r>
              <w:rPr>
                <w:rFonts w:eastAsia="Times New Roman" w:ascii="Times New Roman" w:hAnsi="Times New Roman"/>
                <w:color w:val="000000" w:themeColor="text1"/>
                <w:lang w:val="en-US" w:eastAsia="ru-RU"/>
              </w:rPr>
              <w:t>@atex.ru</w:t>
            </w:r>
          </w:p>
        </w:tc>
        <w:tc>
          <w:tcPr>
            <w:tcW w:w="5329"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Наименование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ФИО ИП</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Паспорт</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Д.р.</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ИНН</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Адрес: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Тел.:</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val="en-US" w:eastAsia="ru-RU"/>
              </w:rPr>
              <w:t>E</w:t>
            </w:r>
            <w:r>
              <w:rPr>
                <w:rFonts w:eastAsia="Times New Roman" w:cs="Times New Roman" w:ascii="Times New Roman" w:hAnsi="Times New Roman"/>
                <w:color w:val="000000"/>
                <w:lang w:eastAsia="ru-RU"/>
              </w:rPr>
              <w:t>-</w:t>
            </w:r>
            <w:r>
              <w:rPr>
                <w:rFonts w:eastAsia="Times New Roman" w:cs="Times New Roman" w:ascii="Times New Roman" w:hAnsi="Times New Roman"/>
                <w:color w:val="000000"/>
                <w:lang w:val="en-US" w:eastAsia="ru-RU"/>
              </w:rPr>
              <w:t>mail</w:t>
            </w:r>
            <w:r>
              <w:rPr>
                <w:rFonts w:eastAsia="Times New Roman" w:cs="Times New Roman" w:ascii="Times New Roman" w:hAnsi="Times New Roman"/>
                <w:color w:val="000000"/>
                <w:lang w:eastAsia="ru-RU"/>
              </w:rPr>
              <w:t>:</w:t>
            </w:r>
          </w:p>
        </w:tc>
      </w:tr>
      <w:tr>
        <w:trPr/>
        <w:tc>
          <w:tcPr>
            <w:tcW w:w="5328"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rPr>
              <w:t>40702810201500002348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53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c>
          <w:tcPr>
            <w:tcW w:w="53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tc>
      </w:tr>
    </w:tbl>
    <w:p>
      <w:pPr>
        <w:pStyle w:val="ListParagraph"/>
        <w:spacing w:lineRule="auto" w:line="240" w:before="0" w:after="0"/>
        <w:ind w:left="360" w:hanging="0"/>
        <w:contextualSpacing/>
        <w:rPr/>
      </w:pPr>
      <w:r>
        <w:rPr/>
      </w:r>
    </w:p>
    <w:sectPr>
      <w:footerReference w:type="default" r:id="rId13"/>
      <w:type w:val="nextPage"/>
      <w:pgSz w:w="11906" w:h="16838"/>
      <w:pgMar w:left="624" w:right="624" w:header="0" w:top="39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547"/>
      <w:gridCol w:w="4265"/>
      <w:gridCol w:w="1739"/>
    </w:tblGrid>
    <w:tr>
      <w:trPr/>
      <w:tc>
        <w:tcPr>
          <w:tcW w:w="4547" w:type="dxa"/>
          <w:tcBorders/>
          <w:shd w:fill="auto" w:val="clear"/>
        </w:tcPr>
        <w:p>
          <w:pPr>
            <w:pStyle w:val="Footer"/>
            <w:rPr>
              <w:i/>
              <w:i/>
              <w:sz w:val="20"/>
              <w:szCs w:val="20"/>
            </w:rPr>
          </w:pPr>
          <w:r>
            <w:rPr>
              <w:i/>
              <w:sz w:val="20"/>
              <w:szCs w:val="20"/>
            </w:rPr>
          </w:r>
        </w:p>
      </w:tc>
      <w:tc>
        <w:tcPr>
          <w:tcW w:w="4265" w:type="dxa"/>
          <w:tcBorders/>
          <w:shd w:fill="auto" w:val="clear"/>
        </w:tcPr>
        <w:p>
          <w:pPr>
            <w:pStyle w:val="Footer"/>
            <w:rPr>
              <w:i/>
              <w:i/>
              <w:sz w:val="20"/>
              <w:szCs w:val="20"/>
              <w:lang w:val="en-GB"/>
            </w:rPr>
          </w:pPr>
          <w:r>
            <w:rPr>
              <w:i/>
              <w:sz w:val="20"/>
              <w:szCs w:val="20"/>
              <w:lang w:val="en-GB"/>
            </w:rPr>
          </w:r>
        </w:p>
      </w:tc>
      <w:tc>
        <w:tcPr>
          <w:tcW w:w="1739"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17" w:name="__Fieldmark__548_3208166535"/>
          <w:r>
            <w:rPr/>
          </w:r>
          <w:r>
            <w:rPr/>
          </w:r>
          <w:r>
            <w:rPr/>
            <w:fldChar w:fldCharType="end"/>
          </w:r>
          <w:bookmarkEnd w:id="17"/>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FollowedHyperlink">
    <w:name w:val="FollowedHyperlink"/>
    <w:basedOn w:val="DefaultParagraphFont"/>
    <w:uiPriority w:val="99"/>
    <w:semiHidden/>
    <w:unhideWhenUsed/>
    <w:qFormat/>
    <w:rsid w:val="003e3daf"/>
    <w:rPr>
      <w:color w:val="800080" w:themeColor="followedHyperlink"/>
      <w:u w:val="single"/>
    </w:rPr>
  </w:style>
  <w:style w:type="character" w:styleId="UnresolvedMention">
    <w:name w:val="Unresolved Mention"/>
    <w:basedOn w:val="DefaultParagraphFont"/>
    <w:uiPriority w:val="99"/>
    <w:semiHidden/>
    <w:unhideWhenUsed/>
    <w:qFormat/>
    <w:rsid w:val="00d307af"/>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ex.ru/" TargetMode="External"/><Relationship Id="rId3" Type="http://schemas.openxmlformats.org/officeDocument/2006/relationships/hyperlink" Target="https://my.atex.ru/" TargetMode="External"/><Relationship Id="rId4" Type="http://schemas.openxmlformats.org/officeDocument/2006/relationships/hyperlink" Target="https://my.atex.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atex.ru/" TargetMode="External"/><Relationship Id="rId8" Type="http://schemas.openxmlformats.org/officeDocument/2006/relationships/hyperlink" Target="https://atex.ru/" TargetMode="External"/><Relationship Id="rId9" Type="http://schemas.openxmlformats.org/officeDocument/2006/relationships/hyperlink" Target="https://atex.ru/" TargetMode="External"/><Relationship Id="rId10" Type="http://schemas.openxmlformats.org/officeDocument/2006/relationships/hyperlink" Target="https://atex.ru/contacts.php" TargetMode="External"/><Relationship Id="rId11" Type="http://schemas.openxmlformats.org/officeDocument/2006/relationships/hyperlink" Target="https://atex.ru/doc/" TargetMode="External"/><Relationship Id="rId12" Type="http://schemas.openxmlformats.org/officeDocument/2006/relationships/hyperlink" Target="http://atex.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82CF-BA78-4EEA-A508-46C91101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7</Pages>
  <Words>3239</Words>
  <Characters>22786</Characters>
  <CharactersWithSpaces>25948</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2011-11-01T00:12:00Z</dcterms:created>
  <dc:creator>Vadim Kolosov</dc:creator>
  <dc:description/>
  <dc:language>ru-RU</dc:language>
  <cp:lastModifiedBy/>
  <cp:lastPrinted>2011-09-19T01:40:00Z</cp:lastPrinted>
  <dcterms:modified xsi:type="dcterms:W3CDTF">2019-04-28T14:41:11Z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